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A67626" w14:textId="055CF956" w:rsidR="00AE1A53" w:rsidRDefault="00AE1A53" w:rsidP="00AE1A53">
      <w:pPr>
        <w:spacing w:after="0" w:line="240" w:lineRule="auto"/>
        <w:jc w:val="center"/>
        <w:rPr>
          <w:rFonts w:ascii="Times New Roman" w:hAnsi="Times New Roman" w:cs="Times New Roman"/>
          <w:b/>
          <w:bCs/>
        </w:rPr>
      </w:pPr>
      <w:r w:rsidRPr="00AE1A53">
        <w:rPr>
          <w:rFonts w:ascii="Times New Roman" w:hAnsi="Times New Roman" w:cs="Times New Roman"/>
          <w:b/>
          <w:bCs/>
        </w:rPr>
        <w:t>PAAIŠKINIMAS</w:t>
      </w:r>
    </w:p>
    <w:p w14:paraId="5F30932A" w14:textId="77777777" w:rsidR="00AE1A53" w:rsidRPr="00AE1A53" w:rsidRDefault="00AE1A53" w:rsidP="00AE1A53">
      <w:pPr>
        <w:spacing w:after="0" w:line="240" w:lineRule="auto"/>
        <w:jc w:val="center"/>
        <w:rPr>
          <w:rFonts w:ascii="Times New Roman" w:hAnsi="Times New Roman" w:cs="Times New Roman"/>
          <w:b/>
          <w:bCs/>
        </w:rPr>
      </w:pPr>
    </w:p>
    <w:p w14:paraId="367C54E7" w14:textId="53460624" w:rsidR="00AE1A53" w:rsidRPr="00AE1A53" w:rsidRDefault="00AE1A53" w:rsidP="00AE1A53">
      <w:pPr>
        <w:spacing w:after="0" w:line="240" w:lineRule="auto"/>
        <w:jc w:val="both"/>
        <w:rPr>
          <w:rFonts w:ascii="Times New Roman" w:hAnsi="Times New Roman" w:cs="Times New Roman"/>
        </w:rPr>
      </w:pPr>
      <w:r>
        <w:rPr>
          <w:rFonts w:ascii="Times New Roman" w:hAnsi="Times New Roman" w:cs="Times New Roman"/>
        </w:rPr>
        <w:t>V</w:t>
      </w:r>
      <w:r w:rsidRPr="00AE1A53">
        <w:rPr>
          <w:rFonts w:ascii="Times New Roman" w:hAnsi="Times New Roman" w:cs="Times New Roman"/>
        </w:rPr>
        <w:t>ykdant rangos darbus bus:</w:t>
      </w:r>
    </w:p>
    <w:p w14:paraId="5AD1FC5B" w14:textId="77777777" w:rsidR="00AE1A53" w:rsidRPr="00AE1A53" w:rsidRDefault="00AE1A53" w:rsidP="00AE1A53">
      <w:pPr>
        <w:spacing w:after="0" w:line="240" w:lineRule="auto"/>
        <w:jc w:val="both"/>
        <w:rPr>
          <w:rFonts w:ascii="Times New Roman" w:hAnsi="Times New Roman" w:cs="Times New Roman"/>
          <w:i/>
          <w:iCs/>
        </w:rPr>
      </w:pPr>
      <w:r w:rsidRPr="00AE1A53">
        <w:rPr>
          <w:rFonts w:ascii="Times New Roman" w:hAnsi="Times New Roman" w:cs="Times New Roman"/>
          <w:i/>
          <w:iCs/>
        </w:rPr>
        <w:t xml:space="preserve">1.Bus užtikrintas 2018 m. gegužės 30 d. Europos Parlamento ir Tarybos direktyvos (ES) 2018/844 reikalavimų, susijusių su energetiniu pastatų efektyvumu, laikymasis (tai bus numatoma paslaugų įsigijimo ir kt.  dokumentuose). </w:t>
      </w:r>
    </w:p>
    <w:p w14:paraId="44CB121D" w14:textId="77777777" w:rsidR="00AE1A53" w:rsidRPr="00AE1A53" w:rsidRDefault="00AE1A53" w:rsidP="00AE1A53">
      <w:pPr>
        <w:spacing w:after="0" w:line="240" w:lineRule="auto"/>
        <w:jc w:val="both"/>
        <w:rPr>
          <w:rFonts w:ascii="Times New Roman" w:hAnsi="Times New Roman" w:cs="Times New Roman"/>
          <w:i/>
          <w:iCs/>
        </w:rPr>
      </w:pPr>
      <w:r w:rsidRPr="00AE1A53">
        <w:rPr>
          <w:rFonts w:ascii="Times New Roman" w:hAnsi="Times New Roman" w:cs="Times New Roman"/>
          <w:i/>
          <w:iCs/>
        </w:rPr>
        <w:t xml:space="preserve">2.Statybos metodai bus paremti efektyvia analize atsižvelgiant į ISO 20887. Taip pat bus skatinama naudoti pakartotinai panaudojamas medžiagas. </w:t>
      </w:r>
    </w:p>
    <w:p w14:paraId="3D82C152" w14:textId="77777777" w:rsidR="00AE1A53" w:rsidRPr="00AE1A53" w:rsidRDefault="00AE1A53" w:rsidP="00AE1A53">
      <w:pPr>
        <w:spacing w:after="0" w:line="240" w:lineRule="auto"/>
        <w:jc w:val="both"/>
        <w:rPr>
          <w:rFonts w:ascii="Times New Roman" w:hAnsi="Times New Roman" w:cs="Times New Roman"/>
        </w:rPr>
      </w:pPr>
      <w:r w:rsidRPr="00AE1A53">
        <w:rPr>
          <w:rFonts w:ascii="Times New Roman" w:hAnsi="Times New Roman" w:cs="Times New Roman"/>
        </w:rPr>
        <w:t>3. Kuriant naują ar modernizuojant esamą infrastruktūrą, rekomenduojama naudoti žaliąją infrastruktūrą – augmeniją ir kitus pastatų dizaino / apželdinimo sprendinius, kurie sumažintų energijos (kondensavimo) poreikius</w:t>
      </w:r>
    </w:p>
    <w:p w14:paraId="5C3F3803" w14:textId="77777777" w:rsidR="00AE1A53" w:rsidRPr="00AE1A53" w:rsidRDefault="00AE1A53" w:rsidP="00AE1A53">
      <w:pPr>
        <w:spacing w:after="0" w:line="240" w:lineRule="auto"/>
        <w:jc w:val="both"/>
        <w:rPr>
          <w:rFonts w:ascii="Times New Roman" w:hAnsi="Times New Roman" w:cs="Times New Roman"/>
        </w:rPr>
      </w:pPr>
    </w:p>
    <w:p w14:paraId="0054A109" w14:textId="77777777" w:rsidR="00AE1A53" w:rsidRPr="00AE1A53" w:rsidRDefault="00AE1A53" w:rsidP="00AE1A53">
      <w:pPr>
        <w:spacing w:after="0" w:line="240" w:lineRule="auto"/>
        <w:jc w:val="both"/>
        <w:rPr>
          <w:rFonts w:ascii="Times New Roman" w:hAnsi="Times New Roman" w:cs="Times New Roman"/>
        </w:rPr>
      </w:pPr>
      <w:r w:rsidRPr="00AE1A53">
        <w:rPr>
          <w:rFonts w:ascii="Times New Roman" w:hAnsi="Times New Roman" w:cs="Times New Roman"/>
        </w:rPr>
        <w:t>Atliekant rekonstravimo darbus privaloma laikytis universalaus dizaino principų</w:t>
      </w:r>
    </w:p>
    <w:p w14:paraId="49B296DC" w14:textId="77777777" w:rsidR="00AE1A53" w:rsidRPr="00AE1A53" w:rsidRDefault="00AE1A53" w:rsidP="00AE1A53">
      <w:pPr>
        <w:spacing w:after="0" w:line="240" w:lineRule="auto"/>
        <w:jc w:val="both"/>
        <w:rPr>
          <w:rFonts w:ascii="Times New Roman" w:hAnsi="Times New Roman" w:cs="Times New Roman"/>
        </w:rPr>
      </w:pPr>
      <w:r w:rsidRPr="00AE1A53">
        <w:rPr>
          <w:rFonts w:ascii="Times New Roman" w:hAnsi="Times New Roman" w:cs="Times New Roman"/>
        </w:rPr>
        <w:t xml:space="preserve">3.2.1. priemonės sukurtos ar pagerintos infrastruktūros prieinamumo visiems reikalavimui užtikrinti. Rekomenduojama vadovautis Lietuvos žmonių su negalia sąjungos parengta informacija, pateikiama interneto svetainėje </w:t>
      </w:r>
      <w:hyperlink r:id="rId4" w:history="1">
        <w:r w:rsidRPr="00AE1A53">
          <w:rPr>
            <w:rStyle w:val="Hipersaitas"/>
            <w:rFonts w:ascii="Times New Roman" w:hAnsi="Times New Roman" w:cs="Times New Roman"/>
          </w:rPr>
          <w:t>www.universalusdizainas.lt</w:t>
        </w:r>
      </w:hyperlink>
      <w:r w:rsidRPr="003874AD">
        <w:rPr>
          <w:rFonts w:ascii="Times New Roman" w:hAnsi="Times New Roman" w:cs="Times New Roman"/>
        </w:rPr>
        <w:t>. Įgyvendinant projektą pagal Gairių 2.1 lentelėje nurodytą finansuojamą veiklą Nr. 2, projekto lėšomis</w:t>
      </w:r>
      <w:r w:rsidRPr="00AE1A53">
        <w:rPr>
          <w:rFonts w:ascii="Times New Roman" w:hAnsi="Times New Roman" w:cs="Times New Roman"/>
        </w:rPr>
        <w:t xml:space="preserve"> tvarkomose erdvėse bei užtikrinant patekimą į jas, infrastruktūros prieinamumo visiems priemonės įrengiamos pagal poreikį ir technines galimybes; </w:t>
      </w:r>
    </w:p>
    <w:p w14:paraId="63523F6D" w14:textId="77777777" w:rsidR="00AE1A53" w:rsidRPr="00AE1A53" w:rsidRDefault="00AE1A53" w:rsidP="00AE1A53">
      <w:pPr>
        <w:spacing w:after="0" w:line="240" w:lineRule="auto"/>
        <w:jc w:val="both"/>
        <w:rPr>
          <w:rFonts w:ascii="Times New Roman" w:hAnsi="Times New Roman" w:cs="Times New Roman"/>
        </w:rPr>
      </w:pPr>
      <w:r w:rsidRPr="00AE1A53">
        <w:rPr>
          <w:rFonts w:ascii="Times New Roman" w:hAnsi="Times New Roman" w:cs="Times New Roman"/>
        </w:rPr>
        <w:t xml:space="preserve">3.2.2. kuriant naują infrastruktūrą turi būti užtikrinta, kad kuriama infrastruktūra atitiktų statybos techninių reglamentų bei kitų teisės aktų reikalavimus, susijusius su šiltnamio efektą sukeliančių dujų emisija, ir atitiktų beveik energijos nenaudojančių pastatų projektavimo, statybos ir eksploatacijos (angl. </w:t>
      </w:r>
      <w:r w:rsidRPr="00AE1A53">
        <w:rPr>
          <w:rFonts w:ascii="Times New Roman" w:hAnsi="Times New Roman" w:cs="Times New Roman"/>
          <w:i/>
          <w:iCs/>
        </w:rPr>
        <w:t>Nearly Zero Energy Building</w:t>
      </w:r>
      <w:r w:rsidRPr="00AE1A53">
        <w:rPr>
          <w:rFonts w:ascii="Times New Roman" w:hAnsi="Times New Roman" w:cs="Times New Roman"/>
        </w:rPr>
        <w:t xml:space="preserve">, </w:t>
      </w:r>
      <w:r w:rsidRPr="00AE1A53">
        <w:rPr>
          <w:rFonts w:ascii="Times New Roman" w:hAnsi="Times New Roman" w:cs="Times New Roman"/>
          <w:i/>
          <w:iCs/>
        </w:rPr>
        <w:t>NZEB</w:t>
      </w:r>
      <w:r w:rsidRPr="00AE1A53">
        <w:rPr>
          <w:rFonts w:ascii="Times New Roman" w:hAnsi="Times New Roman" w:cs="Times New Roman"/>
        </w:rPr>
        <w:t>) standartą;</w:t>
      </w:r>
    </w:p>
    <w:p w14:paraId="65582817" w14:textId="77777777" w:rsidR="00AE1A53" w:rsidRPr="00AE1A53" w:rsidRDefault="00AE1A53" w:rsidP="00AE1A53">
      <w:pPr>
        <w:spacing w:after="0" w:line="240" w:lineRule="auto"/>
        <w:jc w:val="both"/>
        <w:rPr>
          <w:rFonts w:ascii="Times New Roman" w:hAnsi="Times New Roman" w:cs="Times New Roman"/>
        </w:rPr>
      </w:pPr>
      <w:r w:rsidRPr="00AE1A53">
        <w:rPr>
          <w:rFonts w:ascii="Times New Roman" w:hAnsi="Times New Roman" w:cs="Times New Roman"/>
        </w:rPr>
        <w:t>3.2.3. modernizuojant esamą infrastruktūrą turi būti laikomasi aplinkos apsaugą ir statybas reglamentuojančių teisės aktų. Taip pat numatoma atlikti planuojamos ūkinės veiklos poveikio aplinkai vertinimą, kaip tai numatyta Lietuvos Respublikos planuojamos ūkinės veiklos poveikio aplinkai vertinimo įstatyme;</w:t>
      </w:r>
    </w:p>
    <w:p w14:paraId="0206DEFD" w14:textId="77777777" w:rsidR="00AE1A53" w:rsidRPr="00AE1A53" w:rsidRDefault="00AE1A53" w:rsidP="00AE1A53">
      <w:pPr>
        <w:spacing w:after="0" w:line="240" w:lineRule="auto"/>
        <w:jc w:val="both"/>
        <w:rPr>
          <w:rFonts w:ascii="Times New Roman" w:hAnsi="Times New Roman" w:cs="Times New Roman"/>
        </w:rPr>
      </w:pPr>
      <w:r w:rsidRPr="00AE1A53">
        <w:rPr>
          <w:rFonts w:ascii="Times New Roman" w:hAnsi="Times New Roman" w:cs="Times New Roman"/>
        </w:rPr>
        <w:t>3.2.4. kuriant naują ar modernizuojant esamą infrastruktūrą, rekomenduojama naudoti žaliąją infrastruktūrą – augmeniją ir kitus pastatų dizaino / apželdinimo sprendinius, kurie sumažintų energijos (kondensavimo) poreikius;</w:t>
      </w:r>
    </w:p>
    <w:p w14:paraId="5CA54136" w14:textId="77777777" w:rsidR="00AE1A53" w:rsidRPr="00AE1A53" w:rsidRDefault="00AE1A53" w:rsidP="00AE1A53">
      <w:pPr>
        <w:spacing w:after="0" w:line="240" w:lineRule="auto"/>
        <w:jc w:val="both"/>
        <w:rPr>
          <w:rFonts w:ascii="Times New Roman" w:hAnsi="Times New Roman" w:cs="Times New Roman"/>
        </w:rPr>
      </w:pPr>
      <w:r w:rsidRPr="00AE1A53">
        <w:rPr>
          <w:rFonts w:ascii="Times New Roman" w:hAnsi="Times New Roman" w:cs="Times New Roman"/>
        </w:rPr>
        <w:t>3.2.5. turi būti užtikrintas į Lietuvos Respublikos teisės aktus, reguliuojančius pastatų energetinio efektyvumo ir statybos reikalavimus, perkeltų 2018 m. gegužės 30 d. Europos Parlamento ir Tarybos direktyvos (ES) 2018/844 reikalavimų, susijusių su energetiniu pastatų efektyvumu, laikymasis (turi būti numatoma paslaugų įsigijimo ir kt. dokumentuose);</w:t>
      </w:r>
    </w:p>
    <w:p w14:paraId="4AC3A264" w14:textId="77777777" w:rsidR="00AE1A53" w:rsidRPr="00AE1A53" w:rsidRDefault="00AE1A53" w:rsidP="00AE1A53">
      <w:pPr>
        <w:spacing w:after="0" w:line="240" w:lineRule="auto"/>
        <w:jc w:val="both"/>
        <w:rPr>
          <w:rFonts w:ascii="Times New Roman" w:hAnsi="Times New Roman" w:cs="Times New Roman"/>
        </w:rPr>
      </w:pPr>
      <w:r w:rsidRPr="00AE1A53">
        <w:rPr>
          <w:rFonts w:ascii="Times New Roman" w:hAnsi="Times New Roman" w:cs="Times New Roman"/>
        </w:rPr>
        <w:t>3.2.6. pastatų projektai ir statybos metodai turi būti paremti efektyvia analize, atsižvelgiant į ISO 20887:2020 „Pastatų ir civilinės inžinerijos darbų tvarumas. Išmontavimo ir pritaikymo projektavimas. Principai, reikalavimai ir gairės“ standartą. Taip pat skatinama naudoti pakartotinai panaudojamas medžiagas;</w:t>
      </w:r>
    </w:p>
    <w:p w14:paraId="4E39A4C7" w14:textId="77777777" w:rsidR="00AE1A53" w:rsidRPr="00AE1A53" w:rsidRDefault="00AE1A53" w:rsidP="00AE1A53">
      <w:pPr>
        <w:spacing w:after="0" w:line="240" w:lineRule="auto"/>
        <w:jc w:val="both"/>
        <w:rPr>
          <w:rFonts w:ascii="Times New Roman" w:hAnsi="Times New Roman" w:cs="Times New Roman"/>
        </w:rPr>
      </w:pPr>
      <w:r w:rsidRPr="00AE1A53">
        <w:rPr>
          <w:rFonts w:ascii="Times New Roman" w:hAnsi="Times New Roman" w:cs="Times New Roman"/>
        </w:rPr>
        <w:t xml:space="preserve">3.2.7. mažiausiai 70 proc. (pagal svorį) nepavojingų statybinių ir griovimo atliekų (išskyrus natūraliai atsirandančias medžiagas, nurodytas Europos sąrašo 17 05 04 kategorijoje (2000/532/EB)), statybvietėje susidarančios atliekos turėtų būti parengtos pakartotiniam naudojimui, perdirbimui ir kitoms medžiagų panaudojimo galimybėms, įskaitant užpildymo operacijas, naudojant atliekas kitoms medžiagoms pakeisti, laikantis atliekų hierarchijos ir Europos Sąjungos statybos ir griovimo atliekų tvarkymo protokolo;  </w:t>
      </w:r>
    </w:p>
    <w:p w14:paraId="147346F4" w14:textId="77777777" w:rsidR="00AE1A53" w:rsidRPr="00AE1A53" w:rsidRDefault="00AE1A53" w:rsidP="00AE1A53">
      <w:pPr>
        <w:spacing w:after="0" w:line="240" w:lineRule="auto"/>
        <w:jc w:val="both"/>
        <w:rPr>
          <w:rFonts w:ascii="Times New Roman" w:hAnsi="Times New Roman" w:cs="Times New Roman"/>
        </w:rPr>
      </w:pPr>
      <w:r w:rsidRPr="00AE1A53">
        <w:rPr>
          <w:rFonts w:ascii="Times New Roman" w:hAnsi="Times New Roman" w:cs="Times New Roman"/>
        </w:rPr>
        <w:t>3.2.8. operatoriams privaloma riboti atliekų susidarymą procesuose, susijusiuose su statyba ir griovimu, laikantis Europos Sąjungos statybos ir griovimo atliekų tvarkymo protokolo (angl.k</w:t>
      </w:r>
      <w:r w:rsidRPr="00AE1A53">
        <w:rPr>
          <w:rFonts w:ascii="Times New Roman" w:hAnsi="Times New Roman" w:cs="Times New Roman"/>
          <w:i/>
          <w:iCs/>
        </w:rPr>
        <w:t>. EU Construction and Demolition Waste Management Protocol</w:t>
      </w:r>
      <w:r w:rsidRPr="00AE1A53">
        <w:rPr>
          <w:rFonts w:ascii="Times New Roman" w:hAnsi="Times New Roman" w:cs="Times New Roman"/>
        </w:rPr>
        <w:t xml:space="preserve">) (prieiga per internetą </w:t>
      </w:r>
      <w:hyperlink r:id="rId5" w:history="1">
        <w:r w:rsidRPr="00AE1A53">
          <w:rPr>
            <w:rStyle w:val="Hipersaitas"/>
            <w:rFonts w:ascii="Times New Roman" w:hAnsi="Times New Roman" w:cs="Times New Roman"/>
          </w:rPr>
          <w:t>https://ec.europa.eu/docsroom/documents/20509/</w:t>
        </w:r>
      </w:hyperlink>
      <w:r w:rsidRPr="00AE1A53">
        <w:rPr>
          <w:rFonts w:ascii="Times New Roman" w:hAnsi="Times New Roman" w:cs="Times New Roman"/>
        </w:rPr>
        <w:t>) ir atsižvelgiant į geriausius prieinamus metodus bei naudojant selektyvų griovimą, kad būtų galima pašalinti ir saugiai tvarkyti pavojingas medžiagas ir palengvinti pakartotinį perdirbimą. Statybinės atliekos Lietuvos Respublikos atliekų tvarkymo įstatymo ir kitų teisės aktų nustatyta tvarka turi būti perduodamos atliekų tvarkytojams, turintiems teisę tvarkyti tokias atliekas;</w:t>
      </w:r>
    </w:p>
    <w:p w14:paraId="2575BE42" w14:textId="3003CF41" w:rsidR="003874AD" w:rsidRDefault="00AE1A53" w:rsidP="00AE1A53">
      <w:pPr>
        <w:spacing w:after="0" w:line="240" w:lineRule="auto"/>
        <w:jc w:val="both"/>
        <w:rPr>
          <w:rFonts w:ascii="Times New Roman" w:hAnsi="Times New Roman" w:cs="Times New Roman"/>
        </w:rPr>
      </w:pPr>
      <w:r w:rsidRPr="00AE1A53">
        <w:rPr>
          <w:rFonts w:ascii="Times New Roman" w:hAnsi="Times New Roman" w:cs="Times New Roman"/>
        </w:rPr>
        <w:t>3.2.9. turi būti imamasi priemonių sumažinti triukšmą, dulkių ir teršalų išmetimą vykdant statybos ar priežiūros darbus</w:t>
      </w:r>
      <w:r>
        <w:rPr>
          <w:rFonts w:ascii="Times New Roman" w:hAnsi="Times New Roman" w:cs="Times New Roman"/>
        </w:rPr>
        <w:t>.</w:t>
      </w:r>
    </w:p>
    <w:p w14:paraId="1D32C68F" w14:textId="77777777" w:rsidR="003874AD" w:rsidRDefault="003874AD">
      <w:pPr>
        <w:rPr>
          <w:rFonts w:ascii="Times New Roman" w:hAnsi="Times New Roman" w:cs="Times New Roman"/>
        </w:rPr>
      </w:pPr>
      <w:r>
        <w:rPr>
          <w:rFonts w:ascii="Times New Roman" w:hAnsi="Times New Roman" w:cs="Times New Roman"/>
        </w:rPr>
        <w:br w:type="page"/>
      </w:r>
    </w:p>
    <w:p w14:paraId="3FF81C8A" w14:textId="77777777" w:rsidR="003874AD" w:rsidRDefault="003874AD" w:rsidP="00AE1A53">
      <w:pPr>
        <w:spacing w:after="0" w:line="240" w:lineRule="auto"/>
        <w:jc w:val="both"/>
        <w:rPr>
          <w:rFonts w:ascii="Times New Roman" w:hAnsi="Times New Roman" w:cs="Times New Roman"/>
        </w:rPr>
        <w:sectPr w:rsidR="003874AD" w:rsidSect="00AE1A53">
          <w:pgSz w:w="11906" w:h="16838"/>
          <w:pgMar w:top="851" w:right="567" w:bottom="851" w:left="1701" w:header="567" w:footer="567" w:gutter="0"/>
          <w:cols w:space="1296"/>
          <w:docGrid w:linePitch="360"/>
        </w:sectPr>
      </w:pPr>
    </w:p>
    <w:p w14:paraId="26B605A8" w14:textId="77777777" w:rsidR="00AE1A53" w:rsidRPr="00AE1A53" w:rsidRDefault="00AE1A53" w:rsidP="00AE1A53">
      <w:pPr>
        <w:spacing w:after="0" w:line="240" w:lineRule="auto"/>
        <w:jc w:val="both"/>
        <w:rPr>
          <w:rFonts w:ascii="Times New Roman" w:hAnsi="Times New Roman" w:cs="Times New Roman"/>
        </w:rPr>
      </w:pPr>
    </w:p>
    <w:tbl>
      <w:tblPr>
        <w:tblStyle w:val="Lentelstinklelis"/>
        <w:tblW w:w="0" w:type="auto"/>
        <w:tblLook w:val="04A0" w:firstRow="1" w:lastRow="0" w:firstColumn="1" w:lastColumn="0" w:noHBand="0" w:noVBand="1"/>
      </w:tblPr>
      <w:tblGrid>
        <w:gridCol w:w="988"/>
        <w:gridCol w:w="9096"/>
        <w:gridCol w:w="5042"/>
      </w:tblGrid>
      <w:tr w:rsidR="003874AD" w:rsidRPr="003874AD" w14:paraId="0861BD4A" w14:textId="77777777" w:rsidTr="00E62267">
        <w:tc>
          <w:tcPr>
            <w:tcW w:w="15126" w:type="dxa"/>
            <w:gridSpan w:val="3"/>
          </w:tcPr>
          <w:p w14:paraId="4EA76F32" w14:textId="1BD0E93E" w:rsidR="003874AD" w:rsidRPr="003874AD" w:rsidRDefault="003874AD" w:rsidP="00AE1A53">
            <w:pPr>
              <w:jc w:val="both"/>
              <w:rPr>
                <w:rFonts w:ascii="Times New Roman" w:eastAsia="Times New Roman" w:hAnsi="Times New Roman" w:cs="Times New Roman"/>
                <w:bCs/>
                <w:kern w:val="0"/>
                <w:sz w:val="22"/>
                <w:szCs w:val="22"/>
                <w14:ligatures w14:val="none"/>
              </w:rPr>
            </w:pPr>
            <w:r w:rsidRPr="003874AD">
              <w:rPr>
                <w:rFonts w:ascii="Times New Roman" w:eastAsia="Times New Roman" w:hAnsi="Times New Roman" w:cs="Times New Roman"/>
                <w:b/>
                <w:kern w:val="0"/>
                <w:sz w:val="22"/>
                <w:szCs w:val="22"/>
                <w14:ligatures w14:val="none"/>
              </w:rPr>
              <w:t>2.1. Finansuojamos</w:t>
            </w:r>
            <w:r w:rsidRPr="003874AD">
              <w:rPr>
                <w:rFonts w:ascii="Times New Roman" w:eastAsia="Times New Roman" w:hAnsi="Times New Roman" w:cs="Times New Roman"/>
                <w:b/>
                <w:bCs/>
                <w:kern w:val="0"/>
                <w:sz w:val="22"/>
                <w:szCs w:val="22"/>
                <w14:ligatures w14:val="none"/>
              </w:rPr>
              <w:t xml:space="preserve"> veiklos ir siekiami</w:t>
            </w:r>
            <w:r w:rsidRPr="003874AD">
              <w:rPr>
                <w:rFonts w:ascii="Times New Roman" w:eastAsia="Times New Roman" w:hAnsi="Times New Roman" w:cs="Times New Roman"/>
                <w:b/>
                <w:kern w:val="0"/>
                <w:sz w:val="22"/>
                <w:szCs w:val="22"/>
                <w14:ligatures w14:val="none"/>
              </w:rPr>
              <w:t xml:space="preserve"> stebėsenos rodikliai</w:t>
            </w:r>
          </w:p>
        </w:tc>
      </w:tr>
      <w:tr w:rsidR="003874AD" w:rsidRPr="003874AD" w14:paraId="0DCB978D" w14:textId="77777777" w:rsidTr="003874AD">
        <w:tc>
          <w:tcPr>
            <w:tcW w:w="988" w:type="dxa"/>
            <w:tcBorders>
              <w:top w:val="single" w:sz="4" w:space="0" w:color="auto"/>
              <w:left w:val="single" w:sz="4" w:space="0" w:color="auto"/>
              <w:bottom w:val="single" w:sz="4" w:space="0" w:color="auto"/>
              <w:right w:val="single" w:sz="4" w:space="0" w:color="auto"/>
            </w:tcBorders>
          </w:tcPr>
          <w:p w14:paraId="28A7777B" w14:textId="24DA785F" w:rsidR="003874AD" w:rsidRPr="003874AD" w:rsidRDefault="003874AD" w:rsidP="003874AD">
            <w:pPr>
              <w:jc w:val="both"/>
              <w:rPr>
                <w:rFonts w:ascii="Times New Roman" w:hAnsi="Times New Roman" w:cs="Times New Roman"/>
              </w:rPr>
            </w:pPr>
            <w:r w:rsidRPr="003874AD">
              <w:rPr>
                <w:rFonts w:ascii="Times New Roman" w:hAnsi="Times New Roman" w:cs="Times New Roman"/>
                <w:b/>
                <w:iCs/>
                <w:sz w:val="22"/>
                <w:szCs w:val="22"/>
              </w:rPr>
              <w:t>Eil. Nr.</w:t>
            </w:r>
          </w:p>
        </w:tc>
        <w:tc>
          <w:tcPr>
            <w:tcW w:w="9096" w:type="dxa"/>
            <w:tcBorders>
              <w:top w:val="single" w:sz="4" w:space="0" w:color="auto"/>
              <w:left w:val="single" w:sz="4" w:space="0" w:color="auto"/>
              <w:bottom w:val="single" w:sz="4" w:space="0" w:color="auto"/>
              <w:right w:val="single" w:sz="4" w:space="0" w:color="auto"/>
            </w:tcBorders>
          </w:tcPr>
          <w:p w14:paraId="3B9F7AFB" w14:textId="6C488896" w:rsidR="003874AD" w:rsidRPr="003874AD" w:rsidRDefault="003874AD" w:rsidP="003874AD">
            <w:pPr>
              <w:jc w:val="both"/>
              <w:rPr>
                <w:rFonts w:ascii="Times New Roman" w:hAnsi="Times New Roman" w:cs="Times New Roman"/>
              </w:rPr>
            </w:pPr>
            <w:r w:rsidRPr="003874AD">
              <w:rPr>
                <w:rFonts w:ascii="Times New Roman" w:hAnsi="Times New Roman" w:cs="Times New Roman"/>
                <w:b/>
                <w:iCs/>
                <w:sz w:val="22"/>
                <w:szCs w:val="22"/>
              </w:rPr>
              <w:t>Finansuojamos veiklos</w:t>
            </w:r>
          </w:p>
        </w:tc>
        <w:tc>
          <w:tcPr>
            <w:tcW w:w="5042" w:type="dxa"/>
            <w:tcBorders>
              <w:top w:val="single" w:sz="4" w:space="0" w:color="auto"/>
              <w:left w:val="single" w:sz="4" w:space="0" w:color="auto"/>
              <w:bottom w:val="single" w:sz="4" w:space="0" w:color="auto"/>
              <w:right w:val="single" w:sz="4" w:space="0" w:color="auto"/>
            </w:tcBorders>
          </w:tcPr>
          <w:p w14:paraId="703DCC18" w14:textId="35ACC58C" w:rsidR="003874AD" w:rsidRPr="003874AD" w:rsidRDefault="003874AD" w:rsidP="003874AD">
            <w:pPr>
              <w:jc w:val="both"/>
              <w:rPr>
                <w:rFonts w:ascii="Times New Roman" w:hAnsi="Times New Roman" w:cs="Times New Roman"/>
              </w:rPr>
            </w:pPr>
            <w:r w:rsidRPr="003874AD">
              <w:rPr>
                <w:rFonts w:ascii="Times New Roman" w:hAnsi="Times New Roman" w:cs="Times New Roman"/>
                <w:b/>
                <w:iCs/>
                <w:sz w:val="22"/>
                <w:szCs w:val="22"/>
              </w:rPr>
              <w:t>Tikslinės grupės</w:t>
            </w:r>
          </w:p>
        </w:tc>
      </w:tr>
      <w:tr w:rsidR="003874AD" w:rsidRPr="003874AD" w14:paraId="69F07EED" w14:textId="77777777" w:rsidTr="003874AD">
        <w:tc>
          <w:tcPr>
            <w:tcW w:w="988" w:type="dxa"/>
            <w:tcBorders>
              <w:top w:val="single" w:sz="4" w:space="0" w:color="auto"/>
              <w:left w:val="single" w:sz="4" w:space="0" w:color="auto"/>
              <w:bottom w:val="single" w:sz="4" w:space="0" w:color="auto"/>
              <w:right w:val="single" w:sz="4" w:space="0" w:color="auto"/>
            </w:tcBorders>
          </w:tcPr>
          <w:p w14:paraId="5681C62D" w14:textId="40236ACB" w:rsidR="003874AD" w:rsidRPr="003874AD" w:rsidRDefault="003874AD" w:rsidP="003874AD">
            <w:pPr>
              <w:jc w:val="both"/>
              <w:rPr>
                <w:rFonts w:ascii="Times New Roman" w:hAnsi="Times New Roman" w:cs="Times New Roman"/>
              </w:rPr>
            </w:pPr>
            <w:r w:rsidRPr="003874AD">
              <w:rPr>
                <w:rFonts w:ascii="Times New Roman" w:hAnsi="Times New Roman" w:cs="Times New Roman"/>
                <w:iCs/>
                <w:sz w:val="20"/>
              </w:rPr>
              <w:t>1.</w:t>
            </w:r>
          </w:p>
        </w:tc>
        <w:tc>
          <w:tcPr>
            <w:tcW w:w="9096" w:type="dxa"/>
            <w:tcBorders>
              <w:top w:val="single" w:sz="4" w:space="0" w:color="auto"/>
              <w:left w:val="single" w:sz="4" w:space="0" w:color="auto"/>
              <w:bottom w:val="single" w:sz="4" w:space="0" w:color="auto"/>
              <w:right w:val="single" w:sz="4" w:space="0" w:color="auto"/>
            </w:tcBorders>
          </w:tcPr>
          <w:p w14:paraId="29C4CCE8" w14:textId="77777777" w:rsidR="003874AD" w:rsidRPr="003874AD" w:rsidRDefault="003874AD" w:rsidP="003874AD">
            <w:pPr>
              <w:jc w:val="both"/>
              <w:rPr>
                <w:rFonts w:ascii="Times New Roman" w:hAnsi="Times New Roman" w:cs="Times New Roman"/>
                <w:iCs/>
                <w:sz w:val="20"/>
              </w:rPr>
            </w:pPr>
            <w:r w:rsidRPr="003874AD">
              <w:rPr>
                <w:rFonts w:ascii="Times New Roman" w:hAnsi="Times New Roman" w:cs="Times New Roman"/>
                <w:iCs/>
                <w:sz w:val="20"/>
              </w:rPr>
              <w:t>Universalaus dizaino elementų ir kitų inžinerinių priemonių (pandusai, keltuvai, liftai, taktiliniai ir kiti sprendimai) įrengimas bendrojo ugdymo mokyklose</w:t>
            </w:r>
          </w:p>
          <w:p w14:paraId="4B9C90E7" w14:textId="7DF5ADFA" w:rsidR="003874AD" w:rsidRPr="003874AD" w:rsidRDefault="003874AD" w:rsidP="003874AD">
            <w:pPr>
              <w:jc w:val="both"/>
              <w:rPr>
                <w:rFonts w:ascii="Times New Roman" w:hAnsi="Times New Roman" w:cs="Times New Roman"/>
              </w:rPr>
            </w:pPr>
            <w:r w:rsidRPr="003874AD">
              <w:rPr>
                <w:rFonts w:ascii="Times New Roman" w:hAnsi="Times New Roman" w:cs="Times New Roman"/>
                <w:i/>
                <w:iCs/>
                <w:sz w:val="20"/>
              </w:rPr>
              <w:t>(būtinos apimties statybos, rekonstravimo ir remonto darbai diegiant konkrečius universalaus dizaino ir kitų inžinerinių sprendimų elementus, sensorinio kambario / nusiraminimo erdvės įrengimas (remontas ir aprūpinimas reikiamais baldais ir įranga)).(Universalus dizainas suprantamas taip, kaip apibrėžta Lietuvos Respublikos statybos įstatyme).</w:t>
            </w:r>
          </w:p>
        </w:tc>
        <w:tc>
          <w:tcPr>
            <w:tcW w:w="5042" w:type="dxa"/>
            <w:tcBorders>
              <w:top w:val="single" w:sz="4" w:space="0" w:color="auto"/>
              <w:left w:val="single" w:sz="4" w:space="0" w:color="auto"/>
              <w:bottom w:val="single" w:sz="4" w:space="0" w:color="auto"/>
              <w:right w:val="single" w:sz="4" w:space="0" w:color="auto"/>
            </w:tcBorders>
          </w:tcPr>
          <w:p w14:paraId="506FBE9D" w14:textId="55205DE2" w:rsidR="003874AD" w:rsidRPr="003874AD" w:rsidRDefault="003874AD" w:rsidP="003874AD">
            <w:pPr>
              <w:jc w:val="both"/>
              <w:rPr>
                <w:rFonts w:ascii="Times New Roman" w:hAnsi="Times New Roman" w:cs="Times New Roman"/>
              </w:rPr>
            </w:pPr>
            <w:r w:rsidRPr="003874AD">
              <w:rPr>
                <w:rFonts w:ascii="Times New Roman" w:hAnsi="Times New Roman" w:cs="Times New Roman"/>
                <w:iCs/>
                <w:sz w:val="20"/>
              </w:rPr>
              <w:t>Atskirtį (taip pat ir dėl negalios) ar socialines rizikas, dėl kurių kyla grėsmė patirti socialinę atskirtį, patiriantys vaikai, mokiniai, kiti asmenys su negalia (vaikų tėvai, mokytojai ir kt.).</w:t>
            </w:r>
          </w:p>
        </w:tc>
      </w:tr>
      <w:tr w:rsidR="003874AD" w:rsidRPr="003874AD" w14:paraId="72AA7905" w14:textId="77777777" w:rsidTr="003874AD">
        <w:tc>
          <w:tcPr>
            <w:tcW w:w="988" w:type="dxa"/>
            <w:tcBorders>
              <w:top w:val="single" w:sz="4" w:space="0" w:color="auto"/>
              <w:left w:val="single" w:sz="4" w:space="0" w:color="auto"/>
              <w:bottom w:val="single" w:sz="4" w:space="0" w:color="auto"/>
              <w:right w:val="single" w:sz="4" w:space="0" w:color="auto"/>
            </w:tcBorders>
          </w:tcPr>
          <w:p w14:paraId="4A422788" w14:textId="55BE8FED" w:rsidR="003874AD" w:rsidRPr="003874AD" w:rsidRDefault="003874AD" w:rsidP="003874AD">
            <w:pPr>
              <w:jc w:val="both"/>
              <w:rPr>
                <w:rFonts w:ascii="Times New Roman" w:hAnsi="Times New Roman" w:cs="Times New Roman"/>
              </w:rPr>
            </w:pPr>
            <w:r w:rsidRPr="003874AD">
              <w:rPr>
                <w:rFonts w:ascii="Times New Roman" w:hAnsi="Times New Roman" w:cs="Times New Roman"/>
                <w:iCs/>
                <w:sz w:val="20"/>
              </w:rPr>
              <w:t>2.</w:t>
            </w:r>
          </w:p>
        </w:tc>
        <w:tc>
          <w:tcPr>
            <w:tcW w:w="9096" w:type="dxa"/>
            <w:tcBorders>
              <w:top w:val="single" w:sz="4" w:space="0" w:color="auto"/>
              <w:left w:val="single" w:sz="4" w:space="0" w:color="auto"/>
              <w:bottom w:val="single" w:sz="4" w:space="0" w:color="auto"/>
              <w:right w:val="single" w:sz="4" w:space="0" w:color="auto"/>
            </w:tcBorders>
          </w:tcPr>
          <w:p w14:paraId="0AA4555C" w14:textId="77777777" w:rsidR="003874AD" w:rsidRPr="003874AD" w:rsidRDefault="003874AD" w:rsidP="003874AD">
            <w:pPr>
              <w:jc w:val="both"/>
              <w:rPr>
                <w:rFonts w:ascii="Times New Roman" w:hAnsi="Times New Roman" w:cs="Times New Roman"/>
                <w:iCs/>
                <w:sz w:val="20"/>
              </w:rPr>
            </w:pPr>
            <w:r w:rsidRPr="003874AD">
              <w:rPr>
                <w:rFonts w:ascii="Times New Roman" w:hAnsi="Times New Roman" w:cs="Times New Roman"/>
                <w:iCs/>
                <w:sz w:val="20"/>
              </w:rPr>
              <w:t>Naujų ikimokyklinio ugdymo vietų kūrimas, dėmesį skiriant ankstyvojo amžiaus vaikų (vaikai nuo gimimo iki 3 metų amžiaus) ugdymui</w:t>
            </w:r>
          </w:p>
          <w:p w14:paraId="5D6B713A" w14:textId="77777777" w:rsidR="003874AD" w:rsidRPr="003874AD" w:rsidRDefault="003874AD" w:rsidP="003874AD">
            <w:pPr>
              <w:jc w:val="both"/>
              <w:rPr>
                <w:rFonts w:ascii="Times New Roman" w:hAnsi="Times New Roman" w:cs="Times New Roman"/>
                <w:i/>
                <w:iCs/>
                <w:sz w:val="20"/>
              </w:rPr>
            </w:pPr>
            <w:r w:rsidRPr="003874AD">
              <w:rPr>
                <w:rFonts w:ascii="Times New Roman" w:hAnsi="Times New Roman" w:cs="Times New Roman"/>
                <w:i/>
                <w:iCs/>
                <w:sz w:val="20"/>
              </w:rPr>
              <w:t>(naujų patalpų įrengimas naujai formuojamoms grupėms esamuose veikiančios ikimokyklinį ugdymą vykdančios įstaigos pastatuose, pagal poreikį įrengiant būtinas priemones, užtikrinančias prieinamumo visiems galimybes patekti į sutvarkytas patalpas; naujų ikimokyklinio ugdymo įstaigų pastatų ar priestatų statyba ar ikimokyklinio ugdymo veikloms nenaudojamų švietimo ar kitos paskirties pastatų / patalpų remontas ar rekonstrukcija, pritaikant ikimokykliniam ugdymui vykdyti, ir įrengimas; lauko edukacinių erdvių įrengimas naujai formuojamoms grupėms; esamų grupių (ikimokyklinio ugdymo ir / arba jungtinių (ikimokyklinio ir priešmokyklinio ugdymo) grupių) patalpų remontas ir įrengimas, kai neviršijant higienos normose numatytų reikalavimų plečiamas esamų grupių pajėgumas didinant ugdymo vietų skaičių grupėje;</w:t>
            </w:r>
          </w:p>
          <w:p w14:paraId="66F379A6" w14:textId="7DE3B0DB" w:rsidR="003874AD" w:rsidRPr="003874AD" w:rsidRDefault="003874AD" w:rsidP="003874AD">
            <w:pPr>
              <w:jc w:val="both"/>
              <w:rPr>
                <w:rFonts w:ascii="Times New Roman" w:hAnsi="Times New Roman" w:cs="Times New Roman"/>
              </w:rPr>
            </w:pPr>
            <w:r w:rsidRPr="003874AD">
              <w:rPr>
                <w:rFonts w:ascii="Times New Roman" w:hAnsi="Times New Roman" w:cs="Times New Roman"/>
                <w:i/>
                <w:iCs/>
                <w:sz w:val="20"/>
              </w:rPr>
              <w:t>papildomai galimos investicijos atnaujinant ikimokyklinio ugdymo įstaigos visų grupių ugdytinių reikmėms (sportui, kūrybai, tyrinėjimui, renginiams ir kt.) naudojamas vidaus ir lauko edukacines erdves).</w:t>
            </w:r>
          </w:p>
        </w:tc>
        <w:tc>
          <w:tcPr>
            <w:tcW w:w="5042" w:type="dxa"/>
            <w:tcBorders>
              <w:top w:val="single" w:sz="4" w:space="0" w:color="auto"/>
              <w:left w:val="single" w:sz="4" w:space="0" w:color="auto"/>
              <w:bottom w:val="single" w:sz="4" w:space="0" w:color="auto"/>
              <w:right w:val="single" w:sz="4" w:space="0" w:color="auto"/>
            </w:tcBorders>
          </w:tcPr>
          <w:p w14:paraId="258ECF11" w14:textId="2304CC41" w:rsidR="003874AD" w:rsidRPr="003874AD" w:rsidRDefault="003874AD" w:rsidP="003874AD">
            <w:pPr>
              <w:jc w:val="both"/>
              <w:rPr>
                <w:rFonts w:ascii="Times New Roman" w:hAnsi="Times New Roman" w:cs="Times New Roman"/>
              </w:rPr>
            </w:pPr>
            <w:r w:rsidRPr="003874AD">
              <w:rPr>
                <w:rFonts w:ascii="Times New Roman" w:hAnsi="Times New Roman" w:cs="Times New Roman"/>
                <w:iCs/>
                <w:sz w:val="20"/>
              </w:rPr>
              <w:t>Atskirtį (taip pat ir dėl negalios) ar socialines rizikas, dėl kurių kyla grėsmė patirti socialinę atskirtį, patiriantys vaikai, ikimokyklinio amžiaus vaikai.</w:t>
            </w:r>
          </w:p>
        </w:tc>
      </w:tr>
      <w:tr w:rsidR="003874AD" w:rsidRPr="003874AD" w14:paraId="70BD8B07" w14:textId="77777777" w:rsidTr="003874AD">
        <w:tc>
          <w:tcPr>
            <w:tcW w:w="988" w:type="dxa"/>
            <w:tcBorders>
              <w:top w:val="single" w:sz="4" w:space="0" w:color="auto"/>
              <w:left w:val="single" w:sz="4" w:space="0" w:color="auto"/>
              <w:bottom w:val="single" w:sz="4" w:space="0" w:color="auto"/>
              <w:right w:val="single" w:sz="4" w:space="0" w:color="auto"/>
            </w:tcBorders>
          </w:tcPr>
          <w:p w14:paraId="7341D400" w14:textId="0A1C957C" w:rsidR="003874AD" w:rsidRPr="003874AD" w:rsidRDefault="003874AD" w:rsidP="003874AD">
            <w:pPr>
              <w:jc w:val="both"/>
              <w:rPr>
                <w:rFonts w:ascii="Times New Roman" w:hAnsi="Times New Roman" w:cs="Times New Roman"/>
              </w:rPr>
            </w:pPr>
            <w:r w:rsidRPr="003874AD">
              <w:rPr>
                <w:rFonts w:ascii="Times New Roman" w:hAnsi="Times New Roman" w:cs="Times New Roman"/>
                <w:iCs/>
                <w:sz w:val="20"/>
              </w:rPr>
              <w:t>3.</w:t>
            </w:r>
          </w:p>
        </w:tc>
        <w:tc>
          <w:tcPr>
            <w:tcW w:w="9096" w:type="dxa"/>
            <w:tcBorders>
              <w:top w:val="single" w:sz="4" w:space="0" w:color="auto"/>
              <w:left w:val="single" w:sz="4" w:space="0" w:color="auto"/>
              <w:bottom w:val="single" w:sz="4" w:space="0" w:color="auto"/>
              <w:right w:val="single" w:sz="4" w:space="0" w:color="auto"/>
            </w:tcBorders>
          </w:tcPr>
          <w:p w14:paraId="059F6E8C" w14:textId="77777777" w:rsidR="003874AD" w:rsidRPr="003874AD" w:rsidRDefault="003874AD" w:rsidP="003874AD">
            <w:pPr>
              <w:jc w:val="both"/>
              <w:rPr>
                <w:rFonts w:ascii="Times New Roman" w:hAnsi="Times New Roman" w:cs="Times New Roman"/>
                <w:iCs/>
                <w:sz w:val="20"/>
              </w:rPr>
            </w:pPr>
            <w:r w:rsidRPr="003874AD">
              <w:rPr>
                <w:rFonts w:ascii="Times New Roman" w:hAnsi="Times New Roman" w:cs="Times New Roman"/>
                <w:iCs/>
                <w:sz w:val="20"/>
              </w:rPr>
              <w:t>Negalią turintiems mokiniams ir kitiems mokiniams pavėžėti iki ir iš ugdymo įstaigos lengvai pritaikomų transporto priemonių įsigijimas</w:t>
            </w:r>
          </w:p>
          <w:p w14:paraId="3F6EED46" w14:textId="5060A2B0" w:rsidR="003874AD" w:rsidRPr="003874AD" w:rsidRDefault="003874AD" w:rsidP="003874AD">
            <w:pPr>
              <w:jc w:val="both"/>
              <w:rPr>
                <w:rFonts w:ascii="Times New Roman" w:hAnsi="Times New Roman" w:cs="Times New Roman"/>
              </w:rPr>
            </w:pPr>
            <w:r w:rsidRPr="003874AD">
              <w:rPr>
                <w:rFonts w:ascii="Times New Roman" w:hAnsi="Times New Roman" w:cs="Times New Roman"/>
                <w:i/>
                <w:iCs/>
                <w:sz w:val="20"/>
              </w:rPr>
              <w:t>(įsigyjamos transporto priemonės (autobusiukai), skirtos mokiniams pavėžėti į ugdymo įstaigą ir iš jos, turi būti pritaikytos ar prireikus lengvai pritaikomos neįgalių asmenų (numatytos vietos neįgaliesiems asmenims pavežti ir užtikrintas saugus ir patogus tokių asmenų patekimas į transporto priemonę) ir mažų vaikų (kai pavėžėjimo paslauga teikiama ikimokyklinio ugdymo įstaigos ugdytiniams) saugiam ir patogiam pavėžėjimui).</w:t>
            </w:r>
          </w:p>
        </w:tc>
        <w:tc>
          <w:tcPr>
            <w:tcW w:w="5042" w:type="dxa"/>
            <w:tcBorders>
              <w:top w:val="single" w:sz="4" w:space="0" w:color="auto"/>
              <w:left w:val="single" w:sz="4" w:space="0" w:color="auto"/>
              <w:bottom w:val="single" w:sz="4" w:space="0" w:color="auto"/>
              <w:right w:val="single" w:sz="4" w:space="0" w:color="auto"/>
            </w:tcBorders>
          </w:tcPr>
          <w:p w14:paraId="1D917837" w14:textId="264E0BC3" w:rsidR="003874AD" w:rsidRPr="003874AD" w:rsidRDefault="003874AD" w:rsidP="003874AD">
            <w:pPr>
              <w:jc w:val="both"/>
              <w:rPr>
                <w:rFonts w:ascii="Times New Roman" w:hAnsi="Times New Roman" w:cs="Times New Roman"/>
              </w:rPr>
            </w:pPr>
            <w:r w:rsidRPr="003874AD">
              <w:rPr>
                <w:rFonts w:ascii="Times New Roman" w:hAnsi="Times New Roman" w:cs="Times New Roman"/>
                <w:iCs/>
                <w:sz w:val="20"/>
              </w:rPr>
              <w:t>Atskirtį (taip pat ir dėl negalios) ar socialines rizikas, dėl kurių kyla grėsmė patirti socialinę atskirtį, patiriantys vaikai, mokiniai, ikimokyklinio ir priešmokyklinio amžiaus vaikai, kiti asmenys su negalia (vaikų tėvai, mokytojai ir kt.).</w:t>
            </w:r>
          </w:p>
        </w:tc>
      </w:tr>
    </w:tbl>
    <w:p w14:paraId="7C46D8FA" w14:textId="77777777" w:rsidR="00862ED9" w:rsidRDefault="00862ED9" w:rsidP="00AE1A53">
      <w:pPr>
        <w:spacing w:after="0" w:line="240" w:lineRule="auto"/>
        <w:jc w:val="both"/>
        <w:rPr>
          <w:rFonts w:ascii="Times New Roman" w:hAnsi="Times New Roman" w:cs="Times New Roman"/>
        </w:rPr>
      </w:pPr>
    </w:p>
    <w:p w14:paraId="40A3C617" w14:textId="6C1BA99D" w:rsidR="00AE1A53" w:rsidRPr="00AE1A53" w:rsidRDefault="00862ED9" w:rsidP="00862ED9">
      <w:pPr>
        <w:spacing w:after="0" w:line="240" w:lineRule="auto"/>
        <w:jc w:val="center"/>
        <w:rPr>
          <w:rFonts w:ascii="Times New Roman" w:hAnsi="Times New Roman" w:cs="Times New Roman"/>
        </w:rPr>
      </w:pPr>
      <w:r>
        <w:rPr>
          <w:rFonts w:ascii="Times New Roman" w:hAnsi="Times New Roman" w:cs="Times New Roman"/>
        </w:rPr>
        <w:t>______________</w:t>
      </w:r>
    </w:p>
    <w:sectPr w:rsidR="00AE1A53" w:rsidRPr="00AE1A53" w:rsidSect="003874AD">
      <w:pgSz w:w="16838" w:h="11906" w:orient="landscape" w:code="9"/>
      <w:pgMar w:top="1701" w:right="851" w:bottom="567" w:left="85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1A53"/>
    <w:rsid w:val="003874AD"/>
    <w:rsid w:val="005F0A3E"/>
    <w:rsid w:val="00862ED9"/>
    <w:rsid w:val="00AE1A5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059A2B"/>
  <w15:chartTrackingRefBased/>
  <w15:docId w15:val="{63B8D79A-8539-444A-A431-848EC3B76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AE1A5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AE1A5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AE1A53"/>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AE1A53"/>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AE1A53"/>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AE1A53"/>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E1A53"/>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E1A53"/>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E1A53"/>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E1A53"/>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AE1A53"/>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AE1A53"/>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AE1A53"/>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AE1A53"/>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AE1A5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E1A5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E1A5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E1A5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E1A5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E1A5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E1A5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E1A5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E1A5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E1A53"/>
    <w:rPr>
      <w:i/>
      <w:iCs/>
      <w:color w:val="404040" w:themeColor="text1" w:themeTint="BF"/>
    </w:rPr>
  </w:style>
  <w:style w:type="paragraph" w:styleId="Sraopastraipa">
    <w:name w:val="List Paragraph"/>
    <w:basedOn w:val="prastasis"/>
    <w:uiPriority w:val="34"/>
    <w:qFormat/>
    <w:rsid w:val="00AE1A53"/>
    <w:pPr>
      <w:ind w:left="720"/>
      <w:contextualSpacing/>
    </w:pPr>
  </w:style>
  <w:style w:type="character" w:styleId="Rykuspabraukimas">
    <w:name w:val="Intense Emphasis"/>
    <w:basedOn w:val="Numatytasispastraiposriftas"/>
    <w:uiPriority w:val="21"/>
    <w:qFormat/>
    <w:rsid w:val="00AE1A53"/>
    <w:rPr>
      <w:i/>
      <w:iCs/>
      <w:color w:val="2F5496" w:themeColor="accent1" w:themeShade="BF"/>
    </w:rPr>
  </w:style>
  <w:style w:type="paragraph" w:styleId="Iskirtacitata">
    <w:name w:val="Intense Quote"/>
    <w:basedOn w:val="prastasis"/>
    <w:next w:val="prastasis"/>
    <w:link w:val="IskirtacitataDiagrama"/>
    <w:uiPriority w:val="30"/>
    <w:qFormat/>
    <w:rsid w:val="00AE1A5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AE1A53"/>
    <w:rPr>
      <w:i/>
      <w:iCs/>
      <w:color w:val="2F5496" w:themeColor="accent1" w:themeShade="BF"/>
    </w:rPr>
  </w:style>
  <w:style w:type="character" w:styleId="Rykinuoroda">
    <w:name w:val="Intense Reference"/>
    <w:basedOn w:val="Numatytasispastraiposriftas"/>
    <w:uiPriority w:val="32"/>
    <w:qFormat/>
    <w:rsid w:val="00AE1A53"/>
    <w:rPr>
      <w:b/>
      <w:bCs/>
      <w:smallCaps/>
      <w:color w:val="2F5496" w:themeColor="accent1" w:themeShade="BF"/>
      <w:spacing w:val="5"/>
    </w:rPr>
  </w:style>
  <w:style w:type="character" w:styleId="Hipersaitas">
    <w:name w:val="Hyperlink"/>
    <w:basedOn w:val="Numatytasispastraiposriftas"/>
    <w:uiPriority w:val="99"/>
    <w:unhideWhenUsed/>
    <w:rsid w:val="00AE1A53"/>
    <w:rPr>
      <w:color w:val="0563C1" w:themeColor="hyperlink"/>
      <w:u w:val="single"/>
    </w:rPr>
  </w:style>
  <w:style w:type="character" w:styleId="Neapdorotaspaminjimas">
    <w:name w:val="Unresolved Mention"/>
    <w:basedOn w:val="Numatytasispastraiposriftas"/>
    <w:uiPriority w:val="99"/>
    <w:semiHidden/>
    <w:unhideWhenUsed/>
    <w:rsid w:val="00AE1A53"/>
    <w:rPr>
      <w:color w:val="605E5C"/>
      <w:shd w:val="clear" w:color="auto" w:fill="E1DFDD"/>
    </w:rPr>
  </w:style>
  <w:style w:type="character" w:styleId="Komentaronuoroda">
    <w:name w:val="annotation reference"/>
    <w:basedOn w:val="Numatytasispastraiposriftas"/>
    <w:uiPriority w:val="99"/>
    <w:semiHidden/>
    <w:unhideWhenUsed/>
    <w:rsid w:val="00AE1A53"/>
    <w:rPr>
      <w:sz w:val="16"/>
      <w:szCs w:val="16"/>
    </w:rPr>
  </w:style>
  <w:style w:type="paragraph" w:styleId="Komentarotekstas">
    <w:name w:val="annotation text"/>
    <w:basedOn w:val="prastasis"/>
    <w:link w:val="KomentarotekstasDiagrama"/>
    <w:uiPriority w:val="99"/>
    <w:unhideWhenUsed/>
    <w:rsid w:val="00AE1A5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AE1A53"/>
    <w:rPr>
      <w:sz w:val="20"/>
      <w:szCs w:val="20"/>
    </w:rPr>
  </w:style>
  <w:style w:type="paragraph" w:styleId="Komentarotema">
    <w:name w:val="annotation subject"/>
    <w:basedOn w:val="Komentarotekstas"/>
    <w:next w:val="Komentarotekstas"/>
    <w:link w:val="KomentarotemaDiagrama"/>
    <w:uiPriority w:val="99"/>
    <w:semiHidden/>
    <w:unhideWhenUsed/>
    <w:rsid w:val="00AE1A53"/>
    <w:rPr>
      <w:b/>
      <w:bCs/>
    </w:rPr>
  </w:style>
  <w:style w:type="character" w:customStyle="1" w:styleId="KomentarotemaDiagrama">
    <w:name w:val="Komentaro tema Diagrama"/>
    <w:basedOn w:val="KomentarotekstasDiagrama"/>
    <w:link w:val="Komentarotema"/>
    <w:uiPriority w:val="99"/>
    <w:semiHidden/>
    <w:rsid w:val="00AE1A53"/>
    <w:rPr>
      <w:b/>
      <w:bCs/>
      <w:sz w:val="20"/>
      <w:szCs w:val="20"/>
    </w:rPr>
  </w:style>
  <w:style w:type="table" w:styleId="Lentelstinklelis">
    <w:name w:val="Table Grid"/>
    <w:basedOn w:val="prastojilentel"/>
    <w:uiPriority w:val="39"/>
    <w:rsid w:val="003874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4081160">
      <w:bodyDiv w:val="1"/>
      <w:marLeft w:val="0"/>
      <w:marRight w:val="0"/>
      <w:marTop w:val="0"/>
      <w:marBottom w:val="0"/>
      <w:divBdr>
        <w:top w:val="none" w:sz="0" w:space="0" w:color="auto"/>
        <w:left w:val="none" w:sz="0" w:space="0" w:color="auto"/>
        <w:bottom w:val="none" w:sz="0" w:space="0" w:color="auto"/>
        <w:right w:val="none" w:sz="0" w:space="0" w:color="auto"/>
      </w:divBdr>
    </w:div>
    <w:div w:id="670254343">
      <w:bodyDiv w:val="1"/>
      <w:marLeft w:val="0"/>
      <w:marRight w:val="0"/>
      <w:marTop w:val="0"/>
      <w:marBottom w:val="0"/>
      <w:divBdr>
        <w:top w:val="none" w:sz="0" w:space="0" w:color="auto"/>
        <w:left w:val="none" w:sz="0" w:space="0" w:color="auto"/>
        <w:bottom w:val="none" w:sz="0" w:space="0" w:color="auto"/>
        <w:right w:val="none" w:sz="0" w:space="0" w:color="auto"/>
      </w:divBdr>
    </w:div>
    <w:div w:id="1072778496">
      <w:bodyDiv w:val="1"/>
      <w:marLeft w:val="0"/>
      <w:marRight w:val="0"/>
      <w:marTop w:val="0"/>
      <w:marBottom w:val="0"/>
      <w:divBdr>
        <w:top w:val="none" w:sz="0" w:space="0" w:color="auto"/>
        <w:left w:val="none" w:sz="0" w:space="0" w:color="auto"/>
        <w:bottom w:val="none" w:sz="0" w:space="0" w:color="auto"/>
        <w:right w:val="none" w:sz="0" w:space="0" w:color="auto"/>
      </w:divBdr>
    </w:div>
    <w:div w:id="2059236940">
      <w:bodyDiv w:val="1"/>
      <w:marLeft w:val="0"/>
      <w:marRight w:val="0"/>
      <w:marTop w:val="0"/>
      <w:marBottom w:val="0"/>
      <w:divBdr>
        <w:top w:val="none" w:sz="0" w:space="0" w:color="auto"/>
        <w:left w:val="none" w:sz="0" w:space="0" w:color="auto"/>
        <w:bottom w:val="none" w:sz="0" w:space="0" w:color="auto"/>
        <w:right w:val="none" w:sz="0" w:space="0" w:color="auto"/>
      </w:divBdr>
    </w:div>
    <w:div w:id="2099670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ec.europa.eu/docsroom/documents/20509/" TargetMode="External"/><Relationship Id="rId4" Type="http://schemas.openxmlformats.org/officeDocument/2006/relationships/hyperlink" Target="http://www.universalusdizainas.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4563</Words>
  <Characters>2602</Characters>
  <Application>Microsoft Office Word</Application>
  <DocSecurity>0</DocSecurity>
  <Lines>21</Lines>
  <Paragraphs>14</Paragraphs>
  <ScaleCrop>false</ScaleCrop>
  <Company/>
  <LinksUpToDate>false</LinksUpToDate>
  <CharactersWithSpaces>7151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3</cp:revision>
  <dcterms:created xsi:type="dcterms:W3CDTF">2025-05-26T12:02:00Z</dcterms:created>
  <dcterms:modified xsi:type="dcterms:W3CDTF">2025-05-28T11:26:00Z</dcterms:modified>
</cp:coreProperties>
</file>